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6652" w14:textId="77777777" w:rsidR="00864828" w:rsidRPr="00422253" w:rsidRDefault="00864828" w:rsidP="00864828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center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3"/>
          <w:szCs w:val="23"/>
          <w:lang w:val="fr-CA"/>
        </w:rPr>
        <w:drawing>
          <wp:inline distT="0" distB="0" distL="0" distR="0" wp14:anchorId="6D642765" wp14:editId="364848B9">
            <wp:extent cx="1221740" cy="1134110"/>
            <wp:effectExtent l="0" t="0" r="0" b="8890"/>
            <wp:docPr id="3" name="Image 3" descr="LOGO 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4529A" w14:textId="77777777" w:rsidR="00864828" w:rsidRPr="00BB3705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Calibri" w:hAnsi="Calibri" w:cs="Arial"/>
          <w:sz w:val="23"/>
          <w:szCs w:val="23"/>
          <w:lang w:val="fr-FR"/>
        </w:rPr>
      </w:pPr>
      <w:r w:rsidRPr="00BB3705">
        <w:rPr>
          <w:rFonts w:ascii="Calibri" w:hAnsi="Calibri" w:cs="Arial"/>
          <w:sz w:val="23"/>
          <w:szCs w:val="23"/>
          <w:lang w:val="fr-FR"/>
        </w:rPr>
        <w:t>Syndicat de l’enseignement du Haut-Richelieu (CSQ)</w:t>
      </w:r>
    </w:p>
    <w:p w14:paraId="62E18641" w14:textId="77777777" w:rsidR="00864828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23"/>
          <w:szCs w:val="23"/>
          <w:lang w:val="fr-FR"/>
        </w:rPr>
      </w:pPr>
    </w:p>
    <w:p w14:paraId="00E8612E" w14:textId="77777777" w:rsidR="00864828" w:rsidRDefault="00864828" w:rsidP="00864828">
      <w:pPr>
        <w:widowControl/>
        <w:tabs>
          <w:tab w:val="left" w:pos="-1440"/>
          <w:tab w:val="left" w:pos="-720"/>
          <w:tab w:val="left" w:pos="284"/>
          <w:tab w:val="center" w:pos="2977"/>
          <w:tab w:val="left" w:pos="3600"/>
          <w:tab w:val="left" w:pos="4320"/>
          <w:tab w:val="left" w:pos="5040"/>
          <w:tab w:val="left" w:pos="552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 Rounded MT Bold" w:hAnsi="Arial Rounded MT Bold" w:cs="Arial"/>
          <w:b/>
          <w:bCs/>
          <w:spacing w:val="30"/>
          <w:sz w:val="32"/>
          <w:szCs w:val="32"/>
          <w:lang w:val="fr-CA"/>
        </w:rPr>
      </w:pPr>
    </w:p>
    <w:p w14:paraId="6DE4D4F6" w14:textId="77777777" w:rsidR="00864828" w:rsidRPr="00555FD9" w:rsidRDefault="00864828" w:rsidP="00864828">
      <w:pPr>
        <w:widowControl/>
        <w:tabs>
          <w:tab w:val="left" w:pos="-1440"/>
          <w:tab w:val="left" w:pos="-720"/>
          <w:tab w:val="left" w:pos="284"/>
          <w:tab w:val="center" w:pos="2977"/>
          <w:tab w:val="left" w:pos="3600"/>
          <w:tab w:val="left" w:pos="4320"/>
          <w:tab w:val="left" w:pos="5040"/>
          <w:tab w:val="left" w:pos="552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 Rounded MT Bold" w:hAnsi="Arial Rounded MT Bold" w:cs="Arial"/>
          <w:spacing w:val="30"/>
          <w:sz w:val="32"/>
          <w:szCs w:val="32"/>
          <w:lang w:val="fr-CA"/>
        </w:rPr>
      </w:pPr>
      <w:r w:rsidRPr="00555FD9">
        <w:rPr>
          <w:rFonts w:ascii="Arial Rounded MT Bold" w:hAnsi="Arial Rounded MT Bold" w:cs="Arial"/>
          <w:b/>
          <w:bCs/>
          <w:spacing w:val="30"/>
          <w:sz w:val="32"/>
          <w:szCs w:val="32"/>
          <w:lang w:val="fr-CA"/>
        </w:rPr>
        <w:t>PROGRAMME DE BOURSES</w:t>
      </w:r>
    </w:p>
    <w:p w14:paraId="7ECAC47F" w14:textId="77777777" w:rsidR="00864828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23"/>
          <w:szCs w:val="23"/>
          <w:lang w:val="fr-CA"/>
        </w:rPr>
      </w:pPr>
    </w:p>
    <w:p w14:paraId="43E12D81" w14:textId="77777777" w:rsidR="00F04FEC" w:rsidRDefault="00F04FEC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23"/>
          <w:szCs w:val="23"/>
          <w:lang w:val="fr-CA"/>
        </w:rPr>
      </w:pPr>
    </w:p>
    <w:p w14:paraId="309B80F6" w14:textId="77777777" w:rsidR="00864828" w:rsidRDefault="00864828" w:rsidP="00F04FEC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709"/>
        <w:jc w:val="center"/>
        <w:rPr>
          <w:rFonts w:ascii="Arial" w:hAnsi="Arial" w:cs="Arial"/>
          <w:sz w:val="23"/>
          <w:szCs w:val="23"/>
          <w:lang w:val="fr-FR"/>
        </w:rPr>
      </w:pPr>
      <w:r>
        <w:rPr>
          <w:rFonts w:ascii="Arial" w:hAnsi="Arial" w:cs="Arial"/>
          <w:noProof/>
          <w:sz w:val="23"/>
          <w:szCs w:val="23"/>
          <w:lang w:val="fr-CA"/>
        </w:rPr>
        <mc:AlternateContent>
          <mc:Choice Requires="wps">
            <w:drawing>
              <wp:inline distT="0" distB="0" distL="0" distR="0" wp14:anchorId="0E1AC4F1" wp14:editId="3401FBF6">
                <wp:extent cx="2790190" cy="601980"/>
                <wp:effectExtent l="0" t="0" r="0" b="0"/>
                <wp:docPr id="2" name="Zone de texte 2" descr="2014 - 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90190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D8B3A" w14:textId="77777777" w:rsidR="00864828" w:rsidRDefault="00864828" w:rsidP="008648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64828"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F04FEC"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864828"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- 202</w:t>
                            </w:r>
                            <w:r w:rsidR="00F04FEC"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1AC4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alt="2014 - 2015" style="width:219.7pt;height: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4D3D8B3A" w14:textId="77777777" w:rsidR="00864828" w:rsidRDefault="00864828" w:rsidP="0086482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64828"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F04FEC"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864828"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- 202</w:t>
                      </w:r>
                      <w:r w:rsidR="00F04FEC"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AF21B3" w14:textId="77777777" w:rsidR="00864828" w:rsidRPr="00976E6E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18"/>
          <w:szCs w:val="18"/>
          <w:lang w:val="fr-FR"/>
        </w:rPr>
      </w:pPr>
    </w:p>
    <w:p w14:paraId="51ACC30B" w14:textId="77777777" w:rsidR="00864828" w:rsidRPr="00976E6E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18"/>
          <w:szCs w:val="18"/>
          <w:lang w:val="fr-FR"/>
        </w:rPr>
      </w:pPr>
    </w:p>
    <w:p w14:paraId="6BC34FDD" w14:textId="77777777" w:rsidR="00864828" w:rsidRDefault="00864828" w:rsidP="00864828">
      <w:pPr>
        <w:jc w:val="center"/>
      </w:pPr>
      <w:r>
        <w:rPr>
          <w:noProof/>
          <w:lang w:val="fr-CA"/>
        </w:rPr>
        <w:drawing>
          <wp:inline distT="0" distB="0" distL="0" distR="0" wp14:anchorId="4B2BDEDD" wp14:editId="6D119D99">
            <wp:extent cx="3518535" cy="2984500"/>
            <wp:effectExtent l="0" t="0" r="571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0" t="-514" r="-980" b="-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BCD71" w14:textId="77777777" w:rsidR="00864828" w:rsidRDefault="00864828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1654125" w14:textId="77777777" w:rsidR="00EA0EB7" w:rsidRPr="00EA0EB7" w:rsidRDefault="00EA0EB7" w:rsidP="00EA0EB7">
      <w:pPr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Procédure de participation</w:t>
      </w:r>
    </w:p>
    <w:p w14:paraId="7480DACA" w14:textId="77777777" w:rsidR="00EA0EB7" w:rsidRPr="00D15846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0E5679FC" w14:textId="77777777" w:rsidR="00EA0EB7" w:rsidRPr="009B7023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B7023">
        <w:rPr>
          <w:rFonts w:ascii="Arial" w:hAnsi="Arial" w:cs="Arial"/>
          <w:sz w:val="22"/>
          <w:szCs w:val="22"/>
          <w:lang w:val="fr-FR"/>
        </w:rPr>
        <w:t xml:space="preserve">Pour une meilleure évaluation de </w:t>
      </w:r>
      <w:r>
        <w:rPr>
          <w:rFonts w:ascii="Arial" w:hAnsi="Arial" w:cs="Arial"/>
          <w:sz w:val="22"/>
          <w:szCs w:val="22"/>
          <w:lang w:val="fr-FR"/>
        </w:rPr>
        <w:t>la candidature soumise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, il serait pertinent de </w:t>
      </w:r>
      <w:r>
        <w:rPr>
          <w:rFonts w:ascii="Arial" w:hAnsi="Arial" w:cs="Arial"/>
          <w:sz w:val="22"/>
          <w:szCs w:val="22"/>
          <w:lang w:val="fr-FR"/>
        </w:rPr>
        <w:t>remplir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un des deux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formulaire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de présentation des projets</w:t>
      </w:r>
      <w:r>
        <w:rPr>
          <w:rFonts w:ascii="Arial" w:hAnsi="Arial" w:cs="Arial"/>
          <w:sz w:val="22"/>
          <w:szCs w:val="22"/>
          <w:lang w:val="fr-FR"/>
        </w:rPr>
        <w:t>, selon la catégorie souhaitée (Bourses du SEHR ou Coup de cœur des collègues).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Ce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outil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vous permettr</w:t>
      </w:r>
      <w:r>
        <w:rPr>
          <w:rFonts w:ascii="Arial" w:hAnsi="Arial" w:cs="Arial"/>
          <w:sz w:val="22"/>
          <w:szCs w:val="22"/>
          <w:lang w:val="fr-FR"/>
        </w:rPr>
        <w:t>ont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de bien mettre en lumière les liens entre nos objectifs, nos critères d’évaluations et </w:t>
      </w:r>
      <w:r>
        <w:rPr>
          <w:rFonts w:ascii="Arial" w:hAnsi="Arial" w:cs="Arial"/>
          <w:sz w:val="22"/>
          <w:szCs w:val="22"/>
          <w:lang w:val="fr-FR"/>
        </w:rPr>
        <w:t>l’</w:t>
      </w:r>
      <w:r w:rsidRPr="009B7023">
        <w:rPr>
          <w:rFonts w:ascii="Arial" w:hAnsi="Arial" w:cs="Arial"/>
          <w:sz w:val="22"/>
          <w:szCs w:val="22"/>
          <w:lang w:val="fr-FR"/>
        </w:rPr>
        <w:t>activité</w:t>
      </w:r>
      <w:r>
        <w:rPr>
          <w:rFonts w:ascii="Arial" w:hAnsi="Arial" w:cs="Arial"/>
          <w:sz w:val="22"/>
          <w:szCs w:val="22"/>
          <w:lang w:val="fr-FR"/>
        </w:rPr>
        <w:t xml:space="preserve"> présentée</w:t>
      </w:r>
      <w:r w:rsidRPr="009B7023">
        <w:rPr>
          <w:rFonts w:ascii="Arial" w:hAnsi="Arial" w:cs="Arial"/>
          <w:sz w:val="22"/>
          <w:szCs w:val="22"/>
          <w:lang w:val="fr-FR"/>
        </w:rPr>
        <w:t>.</w:t>
      </w:r>
    </w:p>
    <w:p w14:paraId="2692831A" w14:textId="77777777" w:rsidR="00EA0EB7" w:rsidRPr="00D15846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5DBC4C05" w14:textId="77777777" w:rsidR="00EA0EB7" w:rsidRPr="009B7023" w:rsidRDefault="00EA0EB7" w:rsidP="00EA0EB7">
      <w:pPr>
        <w:widowControl/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noProof/>
          <w:lang w:val="fr-CA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7D7E433" wp14:editId="105A6ED8">
                <wp:simplePos x="0" y="0"/>
                <wp:positionH relativeFrom="page">
                  <wp:posOffset>1886763</wp:posOffset>
                </wp:positionH>
                <wp:positionV relativeFrom="paragraph">
                  <wp:posOffset>482016</wp:posOffset>
                </wp:positionV>
                <wp:extent cx="4186555" cy="1524000"/>
                <wp:effectExtent l="0" t="635" r="0" b="0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55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F3E78" w14:textId="77777777" w:rsidR="00EA0EB7" w:rsidRPr="009B7023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 w:rsidRPr="009B7023">
                              <w:rPr>
                                <w:i/>
                                <w:iCs/>
                                <w:lang w:val="fr-CA"/>
                              </w:rPr>
                              <w:t>SEHR (CSQ)</w:t>
                            </w:r>
                          </w:p>
                          <w:p w14:paraId="53FC7369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670, boul. du Séminaire Nord</w:t>
                            </w:r>
                          </w:p>
                          <w:p w14:paraId="16E459B1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Saint-Jean-sur-Richelieu (Québec)  J3B 5M3</w:t>
                            </w:r>
                          </w:p>
                          <w:p w14:paraId="515186E9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3FB1678B" w14:textId="77777777" w:rsidR="00EA0EB7" w:rsidRPr="009B7023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13DE239A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Tél. : 450 348-6853 ou 1 800 567-6853</w:t>
                            </w:r>
                          </w:p>
                          <w:p w14:paraId="4C089832" w14:textId="77777777" w:rsidR="00EA0EB7" w:rsidRPr="009B7023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spacing w:after="100" w:afterAutospacing="1"/>
                              <w:rPr>
                                <w:i/>
                                <w:iCs/>
                                <w:color w:val="5B9BD5"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Courriel : sehr@lacsq.org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E433" id="Zone de texte 4" o:spid="_x0000_s1027" type="#_x0000_t202" style="position:absolute;left:0;text-align:left;margin-left:148.55pt;margin-top:37.95pt;width:329.65pt;height:120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" filled="f" stroked="f">
                <v:textbox>
                  <w:txbxContent>
                    <w:p w14:paraId="6EAF3E78" w14:textId="77777777" w:rsidR="00EA0EB7" w:rsidRPr="009B7023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lang w:val="fr-CA"/>
                        </w:rPr>
                      </w:pPr>
                      <w:r w:rsidRPr="009B7023">
                        <w:rPr>
                          <w:i/>
                          <w:iCs/>
                          <w:lang w:val="fr-CA"/>
                        </w:rPr>
                        <w:t>SEHR (CSQ)</w:t>
                      </w:r>
                    </w:p>
                    <w:p w14:paraId="53FC7369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670, boul. du Séminaire Nord</w:t>
                      </w:r>
                    </w:p>
                    <w:p w14:paraId="16E459B1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Saint-Jean-sur-Richelieu (Québec)  J3B 5M3</w:t>
                      </w:r>
                    </w:p>
                    <w:p w14:paraId="515186E9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sz w:val="16"/>
                          <w:szCs w:val="16"/>
                          <w:lang w:val="fr-CA"/>
                        </w:rPr>
                      </w:pPr>
                    </w:p>
                    <w:p w14:paraId="3FB1678B" w14:textId="77777777" w:rsidR="00EA0EB7" w:rsidRPr="009B7023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sz w:val="16"/>
                          <w:szCs w:val="16"/>
                          <w:lang w:val="fr-CA"/>
                        </w:rPr>
                      </w:pPr>
                    </w:p>
                    <w:p w14:paraId="13DE239A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Tél. : 450 348-6853 ou 1 800 567-6853</w:t>
                      </w:r>
                    </w:p>
                    <w:p w14:paraId="4C089832" w14:textId="77777777" w:rsidR="00EA0EB7" w:rsidRPr="009B7023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spacing w:after="100" w:afterAutospacing="1"/>
                        <w:rPr>
                          <w:i/>
                          <w:iCs/>
                          <w:color w:val="5B9BD5"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Courriel : sehr@lacsq.org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7023">
        <w:rPr>
          <w:rFonts w:ascii="Arial" w:hAnsi="Arial" w:cs="Arial"/>
          <w:sz w:val="22"/>
          <w:szCs w:val="22"/>
          <w:lang w:val="fr-FR"/>
        </w:rPr>
        <w:t>Les personnes intéressées doivent présenter leur projet</w:t>
      </w:r>
      <w:r>
        <w:rPr>
          <w:rFonts w:ascii="Arial" w:hAnsi="Arial" w:cs="Arial"/>
          <w:sz w:val="22"/>
          <w:szCs w:val="22"/>
          <w:lang w:val="fr-FR"/>
        </w:rPr>
        <w:t xml:space="preserve"> ou soumettre la candidature d’un collègue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</w:t>
      </w:r>
      <w:r w:rsidRPr="009B7023">
        <w:rPr>
          <w:rFonts w:ascii="Arial" w:hAnsi="Arial" w:cs="Arial"/>
          <w:b/>
          <w:sz w:val="22"/>
          <w:szCs w:val="22"/>
          <w:lang w:val="fr-FR"/>
        </w:rPr>
        <w:t xml:space="preserve">au plus tard le </w:t>
      </w:r>
      <w:r w:rsidR="00F04FEC">
        <w:rPr>
          <w:rFonts w:ascii="Arial" w:hAnsi="Arial" w:cs="Arial"/>
          <w:b/>
          <w:sz w:val="22"/>
          <w:szCs w:val="22"/>
          <w:lang w:val="fr-FR"/>
        </w:rPr>
        <w:t>13</w:t>
      </w:r>
      <w:r>
        <w:rPr>
          <w:rFonts w:ascii="Arial" w:hAnsi="Arial" w:cs="Arial"/>
          <w:b/>
          <w:sz w:val="22"/>
          <w:szCs w:val="22"/>
          <w:lang w:val="fr-FR"/>
        </w:rPr>
        <w:t xml:space="preserve"> mai 202</w:t>
      </w:r>
      <w:r w:rsidR="00F04FEC">
        <w:rPr>
          <w:rFonts w:ascii="Arial" w:hAnsi="Arial" w:cs="Arial"/>
          <w:b/>
          <w:sz w:val="22"/>
          <w:szCs w:val="22"/>
          <w:lang w:val="fr-FR"/>
        </w:rPr>
        <w:t>2</w:t>
      </w:r>
      <w:r>
        <w:rPr>
          <w:rFonts w:ascii="Arial" w:hAnsi="Arial" w:cs="Arial"/>
          <w:b/>
          <w:sz w:val="22"/>
          <w:szCs w:val="22"/>
          <w:lang w:val="fr-FR"/>
        </w:rPr>
        <w:t>.</w:t>
      </w:r>
    </w:p>
    <w:p w14:paraId="1BBD31E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Critères d’évaluation des projets</w:t>
      </w:r>
    </w:p>
    <w:p w14:paraId="4430862B" w14:textId="77777777" w:rsidR="00EA0EB7" w:rsidRPr="00D15846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14980740" w14:textId="77777777" w:rsid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F82137">
        <w:rPr>
          <w:rFonts w:ascii="Arial" w:hAnsi="Arial" w:cs="Arial"/>
          <w:sz w:val="22"/>
          <w:szCs w:val="22"/>
          <w:lang w:val="fr-CA"/>
        </w:rPr>
        <w:t>Lors de l’évaluation par les juges de l’AREQ, les projets devront répondre aux critères suivants :</w:t>
      </w:r>
    </w:p>
    <w:p w14:paraId="275ADDBF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</w:p>
    <w:p w14:paraId="63F9A467" w14:textId="77777777" w:rsidR="00EA0EB7" w:rsidRDefault="00770C58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Être innovateur et créatif</w:t>
      </w:r>
      <w:r w:rsidR="00EA0EB7">
        <w:rPr>
          <w:rFonts w:ascii="Arial" w:hAnsi="Arial" w:cs="Arial"/>
          <w:sz w:val="22"/>
          <w:szCs w:val="22"/>
          <w:lang w:val="fr-FR"/>
        </w:rPr>
        <w:t>;</w:t>
      </w:r>
    </w:p>
    <w:p w14:paraId="7B24F036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53203DEE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Sensibiliser les élèves à l’environnement ou à des valeurs sociales;</w:t>
      </w:r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6F4A61C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295410F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Démontrer une valeur pédagogique;</w:t>
      </w:r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72EDC1D3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2631B2A4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Avoir développé des outils (sociaux, pédagogiques ou environnementaux) qui contribuent à l’amélioration des conditions d’apprentissage des jeunes;</w:t>
      </w:r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5B9F0223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7E21DA45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Toucher une clientèle du milieu scolaire : préscolaire/primaire, secondaire, clientèle jeune et adulte, secteurs régulier et professionnel</w:t>
      </w:r>
      <w:r w:rsidR="00770C58">
        <w:rPr>
          <w:rFonts w:ascii="Arial" w:hAnsi="Arial" w:cs="Arial"/>
          <w:sz w:val="22"/>
          <w:szCs w:val="22"/>
          <w:lang w:val="fr-FR"/>
        </w:rPr>
        <w:t>.</w:t>
      </w:r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73BF75EF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131C4F2F" w14:textId="77777777" w:rsidR="00EA0EB7" w:rsidRPr="007168FD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7168FD">
        <w:rPr>
          <w:rFonts w:ascii="Arial" w:hAnsi="Arial" w:cs="Arial"/>
          <w:sz w:val="22"/>
          <w:szCs w:val="22"/>
          <w:lang w:val="fr-CA"/>
        </w:rPr>
        <w:t>Les projets doivent avoir été expérimentés ou être en cours d'expérimentation au cours</w:t>
      </w:r>
      <w:r w:rsidR="00770C58">
        <w:rPr>
          <w:rFonts w:ascii="Arial" w:hAnsi="Arial" w:cs="Arial"/>
          <w:sz w:val="22"/>
          <w:szCs w:val="22"/>
          <w:lang w:val="fr-CA"/>
        </w:rPr>
        <w:t xml:space="preserve"> d’une des 3 années scolaires suivantes : </w:t>
      </w:r>
      <w:r w:rsidR="00770C58" w:rsidRPr="00770C58">
        <w:rPr>
          <w:rFonts w:ascii="Arial" w:hAnsi="Arial" w:cs="Arial"/>
          <w:b/>
          <w:sz w:val="22"/>
          <w:szCs w:val="22"/>
          <w:lang w:val="fr-CA"/>
        </w:rPr>
        <w:t>2019-2020, 2020-2021</w:t>
      </w:r>
      <w:r w:rsidR="00770C58">
        <w:rPr>
          <w:rFonts w:ascii="Arial" w:hAnsi="Arial" w:cs="Arial"/>
          <w:sz w:val="22"/>
          <w:szCs w:val="22"/>
          <w:lang w:val="fr-CA"/>
        </w:rPr>
        <w:t xml:space="preserve"> ou encore </w:t>
      </w:r>
      <w:r w:rsidR="00770C58" w:rsidRPr="00770C58">
        <w:rPr>
          <w:rFonts w:ascii="Arial" w:hAnsi="Arial" w:cs="Arial"/>
          <w:b/>
          <w:sz w:val="22"/>
          <w:szCs w:val="22"/>
          <w:lang w:val="fr-CA"/>
        </w:rPr>
        <w:t>2021-2022</w:t>
      </w:r>
      <w:r w:rsidRPr="007168FD">
        <w:rPr>
          <w:rFonts w:ascii="Arial" w:hAnsi="Arial" w:cs="Arial"/>
          <w:sz w:val="22"/>
          <w:szCs w:val="22"/>
          <w:lang w:val="fr-CA"/>
        </w:rPr>
        <w:t>.</w:t>
      </w:r>
    </w:p>
    <w:p w14:paraId="40166D34" w14:textId="77777777" w:rsidR="00EA0EB7" w:rsidRDefault="00EA0EB7">
      <w:pPr>
        <w:widowControl/>
        <w:autoSpaceDE/>
        <w:autoSpaceDN/>
        <w:adjustRightInd/>
        <w:spacing w:after="160" w:line="259" w:lineRule="auto"/>
        <w:rPr>
          <w:lang w:val="fr-CA"/>
        </w:rPr>
      </w:pPr>
      <w:r>
        <w:rPr>
          <w:lang w:val="fr-CA"/>
        </w:rPr>
        <w:br w:type="page"/>
      </w:r>
    </w:p>
    <w:p w14:paraId="37684765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CA"/>
        </w:rPr>
      </w:pPr>
    </w:p>
    <w:p w14:paraId="3687CFEC" w14:textId="77777777" w:rsidR="00EA0EB7" w:rsidRPr="00EA0EB7" w:rsidRDefault="00EA0EB7" w:rsidP="00EA0EB7">
      <w:pPr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Participants</w:t>
      </w:r>
    </w:p>
    <w:p w14:paraId="13406F9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8"/>
          <w:szCs w:val="18"/>
          <w:lang w:val="fr-CA"/>
        </w:rPr>
      </w:pPr>
    </w:p>
    <w:p w14:paraId="2A05F26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Ce programme de bourses s'adresse aux membres du SEHR (CSQ). La participation peut être individuelle ou collective, d’une ou plusieurs écoles et centres.</w:t>
      </w:r>
    </w:p>
    <w:p w14:paraId="413177F7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 Black" w:eastAsia="Calibri" w:hAnsi="Arial Black" w:cs="Arial"/>
          <w:b/>
          <w:smallCaps/>
          <w:color w:val="000000"/>
          <w:sz w:val="22"/>
          <w:szCs w:val="2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D4260F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 Black" w:eastAsia="Calibri" w:hAnsi="Arial Black" w:cs="Arial"/>
          <w:b/>
          <w:smallCaps/>
          <w:color w:val="000000"/>
          <w:sz w:val="22"/>
          <w:szCs w:val="2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C4D36E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mallCaps/>
          <w:sz w:val="32"/>
          <w:szCs w:val="32"/>
          <w:lang w:val="fr-CA"/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Attribution des Bourses</w:t>
      </w:r>
    </w:p>
    <w:p w14:paraId="33F015D4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1C822AF4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8B68A5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426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Les bourses sont attribuées par voie d'un concours annuel auquel peuvent participer toutes et tous les membres du SEHR (CSQ).</w:t>
      </w:r>
    </w:p>
    <w:p w14:paraId="1DE4F755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73F12A4E" w14:textId="61DCF248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 xml:space="preserve">Les bourses sont financées à même les revenus d'intérêts générés par le capital du Fonds général d’administration. Une contribution de </w:t>
      </w:r>
      <w:r w:rsidR="00ED1FB0">
        <w:rPr>
          <w:rFonts w:ascii="Arial" w:hAnsi="Arial" w:cs="Arial"/>
          <w:sz w:val="22"/>
          <w:szCs w:val="22"/>
          <w:lang w:val="fr-CA"/>
        </w:rPr>
        <w:t>100</w:t>
      </w:r>
      <w:r w:rsidRPr="00EA0EB7">
        <w:rPr>
          <w:rFonts w:ascii="Arial" w:hAnsi="Arial" w:cs="Arial"/>
          <w:sz w:val="22"/>
          <w:szCs w:val="22"/>
          <w:lang w:val="fr-CA"/>
        </w:rPr>
        <w:t>0 $ est octroyée par l’AREQ du Haut</w:t>
      </w:r>
      <w:r w:rsidRPr="00EA0EB7">
        <w:rPr>
          <w:rFonts w:ascii="Arial" w:hAnsi="Arial" w:cs="Arial"/>
          <w:sz w:val="22"/>
          <w:szCs w:val="22"/>
          <w:lang w:val="fr-CA"/>
        </w:rPr>
        <w:noBreakHyphen/>
        <w:t>Richelieu.</w:t>
      </w:r>
    </w:p>
    <w:p w14:paraId="05F0D58B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033CFBDC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Les bourses sont décernées lors de la dernière assemblée générale de chaque année syndicale.</w:t>
      </w:r>
    </w:p>
    <w:p w14:paraId="5596C98A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14BE89D5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Les bourses sont remises par le Conseil exécutif du</w:t>
      </w:r>
      <w:r w:rsidRPr="00EA0EB7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Pr="00EA0EB7">
        <w:rPr>
          <w:rFonts w:ascii="Arial" w:hAnsi="Arial" w:cs="Arial"/>
          <w:sz w:val="22"/>
          <w:szCs w:val="22"/>
          <w:lang w:val="fr-CA"/>
        </w:rPr>
        <w:t>SEHR (CSQ), après recommandation du comité de sélection formé de personnes désignées par le CE du SEHR (CSQ).</w:t>
      </w:r>
      <w:r w:rsidRPr="00EA0EB7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Pr="00EA0EB7">
        <w:rPr>
          <w:rFonts w:ascii="Arial" w:hAnsi="Arial" w:cs="Arial"/>
          <w:sz w:val="22"/>
          <w:szCs w:val="22"/>
          <w:lang w:val="fr-CA"/>
        </w:rPr>
        <w:t>Si le ou les projets présentés ne répondent pas aux critères, les sommes d'argent sont retournées au fonds pour être utilisées l'année suivante, s'il y a lieu.</w:t>
      </w:r>
    </w:p>
    <w:p w14:paraId="6CBA5A9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312A44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Pour l'année syndicale 20</w:t>
      </w:r>
      <w:r w:rsidR="00F04FEC">
        <w:rPr>
          <w:rFonts w:ascii="Arial" w:hAnsi="Arial" w:cs="Arial"/>
          <w:sz w:val="22"/>
          <w:szCs w:val="22"/>
          <w:lang w:val="fr-CA"/>
        </w:rPr>
        <w:t>21-2022</w:t>
      </w:r>
      <w:r w:rsidRPr="00EA0EB7">
        <w:rPr>
          <w:rFonts w:ascii="Arial" w:hAnsi="Arial" w:cs="Arial"/>
          <w:sz w:val="22"/>
          <w:szCs w:val="22"/>
          <w:lang w:val="fr-CA"/>
        </w:rPr>
        <w:t>, les montants sont fixés à</w:t>
      </w:r>
      <w:r w:rsidR="00770C58">
        <w:rPr>
          <w:rFonts w:ascii="Arial" w:hAnsi="Arial" w:cs="Arial"/>
          <w:sz w:val="22"/>
          <w:szCs w:val="22"/>
          <w:lang w:val="fr-CA"/>
        </w:rPr>
        <w:t> :</w:t>
      </w:r>
    </w:p>
    <w:p w14:paraId="2D2F5888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0C642D7B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u w:val="single"/>
          <w:lang w:val="fr-CA"/>
        </w:rPr>
      </w:pPr>
      <w:r w:rsidRPr="00EA0EB7">
        <w:rPr>
          <w:rFonts w:ascii="Arial" w:hAnsi="Arial" w:cs="Arial"/>
          <w:b/>
          <w:i/>
          <w:u w:val="single"/>
          <w:lang w:val="fr-CA"/>
        </w:rPr>
        <w:t>Le premier prix (Bourses du SEHR</w:t>
      </w:r>
      <w:r w:rsidRPr="00EA0EB7">
        <w:rPr>
          <w:rFonts w:ascii="Arial" w:hAnsi="Arial" w:cs="Arial"/>
          <w:b/>
          <w:i/>
          <w:lang w:val="fr-CA"/>
        </w:rPr>
        <w:t>)</w:t>
      </w:r>
      <w:r w:rsidRPr="00EA0EB7">
        <w:rPr>
          <w:rFonts w:ascii="Arial" w:hAnsi="Arial" w:cs="Arial"/>
          <w:sz w:val="22"/>
          <w:szCs w:val="22"/>
          <w:lang w:val="fr-CA"/>
        </w:rPr>
        <w:t xml:space="preserve"> :</w:t>
      </w:r>
    </w:p>
    <w:p w14:paraId="7A317383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16"/>
          <w:szCs w:val="16"/>
          <w:lang w:val="fr-CA"/>
        </w:rPr>
      </w:pPr>
    </w:p>
    <w:p w14:paraId="562972C2" w14:textId="77777777" w:rsidR="00EA0EB7" w:rsidRPr="00EA0EB7" w:rsidRDefault="00EA0EB7" w:rsidP="00EA0EB7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Une bourse de 1 000 $ pour tous les niveaux confondus (préscolaire et primaire ou secondaire, formation professionnelle et éducation aux adultes).</w:t>
      </w:r>
    </w:p>
    <w:p w14:paraId="0F24543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16"/>
          <w:szCs w:val="16"/>
          <w:lang w:val="fr-CA"/>
        </w:rPr>
      </w:pPr>
    </w:p>
    <w:p w14:paraId="7FBFB6B7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b/>
          <w:i/>
          <w:u w:val="single"/>
          <w:lang w:val="fr-CA"/>
        </w:rPr>
        <w:t>Les deuxièmes prix (pour tous les niveaux)</w:t>
      </w:r>
      <w:r w:rsidRPr="00EA0EB7">
        <w:rPr>
          <w:rFonts w:ascii="Arial" w:hAnsi="Arial" w:cs="Arial"/>
          <w:sz w:val="22"/>
          <w:szCs w:val="22"/>
          <w:lang w:val="fr-CA"/>
        </w:rPr>
        <w:t xml:space="preserve"> : </w:t>
      </w:r>
    </w:p>
    <w:p w14:paraId="78D18A88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16"/>
          <w:szCs w:val="16"/>
          <w:lang w:val="fr-CA"/>
        </w:rPr>
      </w:pPr>
    </w:p>
    <w:p w14:paraId="19BC6D95" w14:textId="77777777" w:rsidR="00EA0EB7" w:rsidRPr="00EA0EB7" w:rsidRDefault="00EA0EB7" w:rsidP="00EA0EB7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Trois bourses de 500 $.</w:t>
      </w:r>
    </w:p>
    <w:p w14:paraId="6CC4AF7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508B526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0BE3FBEE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EA0EB7">
        <w:rPr>
          <w:rFonts w:ascii="Arial" w:hAnsi="Arial" w:cs="Arial"/>
          <w:sz w:val="22"/>
          <w:szCs w:val="22"/>
          <w:lang w:val="fr-FR"/>
        </w:rPr>
        <w:t>Ces quatre (4) bourses sont octroyées en s’assurant que chacun des deux niveaux en reçoive minimalement une. Voici le partage des deux niveaux : préscolaire et primaire ; secondaire, formation professionnelle et éducation aux adultes.</w:t>
      </w:r>
    </w:p>
    <w:p w14:paraId="44447EC6" w14:textId="77777777" w:rsidR="00EA0EB7" w:rsidRDefault="00EA0EB7">
      <w:pPr>
        <w:widowControl/>
        <w:autoSpaceDE/>
        <w:autoSpaceDN/>
        <w:adjustRightInd/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12C05D4E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center"/>
        <w:rPr>
          <w:rFonts w:ascii="Arial Black" w:eastAsia="Calibri" w:hAnsi="Arial Black" w:cs="Arial"/>
          <w:b/>
          <w:smallCaps/>
          <w:color w:val="000000"/>
          <w:spacing w:val="144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noProof/>
          <w:color w:val="000000"/>
          <w:spacing w:val="144"/>
          <w:sz w:val="32"/>
          <w:szCs w:val="3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B00AC" wp14:editId="5635CD21">
                <wp:simplePos x="0" y="0"/>
                <wp:positionH relativeFrom="column">
                  <wp:posOffset>26670</wp:posOffset>
                </wp:positionH>
                <wp:positionV relativeFrom="paragraph">
                  <wp:posOffset>-158115</wp:posOffset>
                </wp:positionV>
                <wp:extent cx="668020" cy="504825"/>
                <wp:effectExtent l="38100" t="41275" r="46355" b="101600"/>
                <wp:wrapNone/>
                <wp:docPr id="5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5048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62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F6B8" id="Forme libre 5" o:spid="_x0000_s1026" style="position:absolute;margin-left:2.1pt;margin-top:-12.45pt;width:52.6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color="#2f5496 [2408]" strokeweight="6pt">
                <v:stroke joinstyle="miter"/>
                <v:path o:connecttype="custom" o:connectlocs="335866,51114;90554,252413;335866,504825;577466,252413" o:connectangles="270,180,90,0" textboxrect="5037,2277,16557,13677"/>
              </v:shape>
            </w:pict>
          </mc:Fallback>
        </mc:AlternateContent>
      </w:r>
      <w:r w:rsidRPr="00EA0EB7">
        <w:rPr>
          <w:rFonts w:ascii="Arial Black" w:eastAsia="Calibri" w:hAnsi="Arial Black" w:cs="Arial"/>
          <w:b/>
          <w:smallCaps/>
          <w:color w:val="000000"/>
          <w:spacing w:val="144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NOUVEAUTÉ</w:t>
      </w:r>
    </w:p>
    <w:p w14:paraId="78C837F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1845F7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40EDF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F629BF" w14:textId="77777777" w:rsidR="00EA0EB7" w:rsidRPr="00F04FEC" w:rsidRDefault="00D414FB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mallCaps/>
          <w:sz w:val="30"/>
          <w:szCs w:val="30"/>
          <w:lang w:val="fr-CA"/>
        </w:rPr>
      </w:pPr>
      <w:r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Prix : </w:t>
      </w:r>
      <w:r w:rsidR="00F04FEC" w:rsidRPr="00F04FEC"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Prof, ma fierté</w:t>
      </w:r>
      <w:r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  <w:r w:rsidR="00EA0EB7" w:rsidRPr="00F04FEC"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Coup de cœur des collègues</w:t>
      </w:r>
    </w:p>
    <w:p w14:paraId="11AC5862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z w:val="20"/>
          <w:szCs w:val="20"/>
          <w:lang w:val="fr-CA"/>
        </w:rPr>
      </w:pPr>
    </w:p>
    <w:p w14:paraId="1BC772D5" w14:textId="77777777" w:rsidR="00EA0EB7" w:rsidRPr="00EA0EB7" w:rsidRDefault="00EA0EB7" w:rsidP="00EA0EB7">
      <w:pPr>
        <w:widowControl/>
        <w:tabs>
          <w:tab w:val="left" w:pos="142"/>
          <w:tab w:val="left" w:pos="426"/>
          <w:tab w:val="left" w:pos="720"/>
          <w:tab w:val="left" w:pos="851"/>
          <w:tab w:val="left" w:pos="1134"/>
          <w:tab w:val="left" w:pos="1440"/>
          <w:tab w:val="left" w:pos="1701"/>
          <w:tab w:val="left" w:pos="1985"/>
          <w:tab w:val="left" w:pos="2160"/>
        </w:tabs>
        <w:autoSpaceDE/>
        <w:autoSpaceDN/>
        <w:adjustRightInd/>
        <w:ind w:left="142" w:right="465"/>
        <w:jc w:val="both"/>
        <w:rPr>
          <w:rFonts w:ascii="Arial" w:hAnsi="Arial" w:cs="Arial"/>
          <w:color w:val="000000"/>
          <w:sz w:val="21"/>
          <w:szCs w:val="21"/>
          <w:lang w:val="fr-FR"/>
        </w:rPr>
      </w:pPr>
      <w:r w:rsidRPr="00EA0EB7">
        <w:rPr>
          <w:rFonts w:ascii="Arial" w:hAnsi="Arial" w:cs="Arial"/>
          <w:color w:val="000000"/>
          <w:sz w:val="21"/>
          <w:szCs w:val="21"/>
          <w:lang w:val="fr-FR"/>
        </w:rPr>
        <w:t xml:space="preserve">Cette année, le comité propose de mettre en place une catégorie </w:t>
      </w:r>
      <w:r w:rsidR="00110672"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>Prof, ma fierté! C</w:t>
      </w:r>
      <w:r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>oup</w:t>
      </w:r>
      <w:r w:rsidRPr="00EA0EB7">
        <w:rPr>
          <w:rFonts w:ascii="Arial" w:hAnsi="Arial" w:cs="Arial"/>
          <w:color w:val="000000"/>
          <w:sz w:val="21"/>
          <w:szCs w:val="21"/>
          <w:lang w:val="fr-FR"/>
        </w:rPr>
        <w:t xml:space="preserve"> </w:t>
      </w:r>
      <w:r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>de cœur des collègues</w:t>
      </w:r>
      <w:r w:rsidRPr="00EA0EB7">
        <w:rPr>
          <w:rFonts w:ascii="Arial" w:hAnsi="Arial" w:cs="Arial"/>
          <w:color w:val="000000"/>
          <w:sz w:val="21"/>
          <w:szCs w:val="21"/>
          <w:lang w:val="fr-FR"/>
        </w:rPr>
        <w:t xml:space="preserve">, où un collègue pourra soumettre la candidature d’une enseignante ou d’un enseignant </w:t>
      </w:r>
      <w:r w:rsidR="00F04FEC">
        <w:rPr>
          <w:rFonts w:ascii="Arial" w:hAnsi="Arial" w:cs="Arial"/>
          <w:color w:val="000000"/>
          <w:sz w:val="21"/>
          <w:szCs w:val="21"/>
          <w:lang w:val="fr-FR"/>
        </w:rPr>
        <w:t>d</w:t>
      </w:r>
      <w:r w:rsidR="00110672">
        <w:rPr>
          <w:rFonts w:ascii="Arial" w:hAnsi="Arial" w:cs="Arial"/>
          <w:color w:val="000000"/>
          <w:sz w:val="21"/>
          <w:szCs w:val="21"/>
          <w:lang w:val="fr-FR"/>
        </w:rPr>
        <w:t>e</w:t>
      </w:r>
      <w:r w:rsidR="00F04FEC">
        <w:rPr>
          <w:rFonts w:ascii="Arial" w:hAnsi="Arial" w:cs="Arial"/>
          <w:color w:val="000000"/>
          <w:sz w:val="21"/>
          <w:szCs w:val="21"/>
          <w:lang w:val="fr-FR"/>
        </w:rPr>
        <w:t xml:space="preserve"> son milieu qui par son implication, fait rayonner la profession dans son entourage en </w:t>
      </w:r>
      <w:r w:rsidRPr="00EA0EB7">
        <w:rPr>
          <w:rFonts w:ascii="Arial" w:hAnsi="Arial" w:cs="Arial"/>
          <w:color w:val="000000"/>
          <w:sz w:val="21"/>
          <w:szCs w:val="21"/>
          <w:lang w:val="fr-FR"/>
        </w:rPr>
        <w:t>lui offrant la possibilité de gagner un prix de 500 $, et ce, sans égard aux niveaux (préscolaire et primaire ou secondaire, formation professionnelle et éducation aux adultes).</w:t>
      </w:r>
    </w:p>
    <w:p w14:paraId="4D8D16F1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38B5F2EB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EA0EB7">
        <w:rPr>
          <w:rFonts w:ascii="Arial" w:hAnsi="Arial" w:cs="Arial"/>
          <w:color w:val="000000"/>
          <w:sz w:val="22"/>
          <w:szCs w:val="22"/>
          <w:lang w:val="fr-FR"/>
        </w:rPr>
        <w:t xml:space="preserve">La candidature du membre doit être proposée par une ou un collègue, à l’aide du formulaire prévu à cet effet. </w:t>
      </w:r>
    </w:p>
    <w:p w14:paraId="3734F345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0565660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Pour l'année syndicale 20</w:t>
      </w:r>
      <w:r w:rsidR="00F04FEC">
        <w:rPr>
          <w:rFonts w:ascii="Arial" w:hAnsi="Arial" w:cs="Arial"/>
          <w:sz w:val="22"/>
          <w:szCs w:val="22"/>
          <w:lang w:val="fr-CA"/>
        </w:rPr>
        <w:t>21-2022</w:t>
      </w:r>
      <w:r w:rsidRPr="00EA0EB7">
        <w:rPr>
          <w:rFonts w:ascii="Arial" w:hAnsi="Arial" w:cs="Arial"/>
          <w:sz w:val="22"/>
          <w:szCs w:val="22"/>
          <w:lang w:val="fr-CA"/>
        </w:rPr>
        <w:t>, les montants sont fixés à</w:t>
      </w:r>
      <w:r w:rsidR="00770C58">
        <w:rPr>
          <w:rFonts w:ascii="Arial" w:hAnsi="Arial" w:cs="Arial"/>
          <w:sz w:val="22"/>
          <w:szCs w:val="22"/>
          <w:lang w:val="fr-CA"/>
        </w:rPr>
        <w:t> :</w:t>
      </w:r>
    </w:p>
    <w:p w14:paraId="1E06CFDD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z w:val="22"/>
          <w:szCs w:val="22"/>
          <w:lang w:val="fr-CA"/>
        </w:rPr>
      </w:pPr>
    </w:p>
    <w:p w14:paraId="06611E2A" w14:textId="77777777" w:rsidR="00EA0EB7" w:rsidRPr="00EA0EB7" w:rsidRDefault="00EA0EB7" w:rsidP="00EA0EB7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851"/>
          <w:tab w:val="left" w:pos="1440"/>
        </w:tabs>
        <w:ind w:left="709" w:right="465" w:hanging="283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Deux prix de 500 $ pour les deux niveaux confondus (préscolaire et primaire ou secondaire, formation professionnelle et éducation aux adultes).</w:t>
      </w:r>
    </w:p>
    <w:p w14:paraId="56CEF2AB" w14:textId="77777777" w:rsidR="000B26E0" w:rsidRDefault="000B26E0" w:rsidP="00864828">
      <w:pPr>
        <w:jc w:val="center"/>
        <w:rPr>
          <w:lang w:val="fr-CA"/>
        </w:rPr>
      </w:pPr>
    </w:p>
    <w:p w14:paraId="5C4079EA" w14:textId="77777777" w:rsidR="00CD7E62" w:rsidRPr="00F04FEC" w:rsidRDefault="00F04FEC" w:rsidP="00110672">
      <w:pPr>
        <w:ind w:left="142" w:right="576"/>
        <w:jc w:val="both"/>
        <w:rPr>
          <w:rFonts w:ascii="Arial" w:hAnsi="Arial" w:cs="Arial"/>
          <w:sz w:val="21"/>
          <w:szCs w:val="21"/>
          <w:lang w:val="fr-CA"/>
        </w:rPr>
      </w:pPr>
      <w:r w:rsidRPr="00F04FEC">
        <w:rPr>
          <w:rFonts w:ascii="Arial" w:hAnsi="Arial" w:cs="Arial"/>
          <w:sz w:val="21"/>
          <w:szCs w:val="21"/>
          <w:lang w:val="fr-CA"/>
        </w:rPr>
        <w:t xml:space="preserve">Ce nouveau volet </w:t>
      </w:r>
      <w:r>
        <w:rPr>
          <w:rFonts w:ascii="Arial" w:hAnsi="Arial" w:cs="Arial"/>
          <w:sz w:val="21"/>
          <w:szCs w:val="21"/>
          <w:lang w:val="fr-CA"/>
        </w:rPr>
        <w:t>des Bourses du SEHR (CSQ) est offert en collaboration avec la FSE (CSQ).</w:t>
      </w:r>
    </w:p>
    <w:p w14:paraId="3091E026" w14:textId="77777777" w:rsidR="00CD7E62" w:rsidRDefault="00CD7E62" w:rsidP="00F04FEC">
      <w:pPr>
        <w:ind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6750D8FC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23A12AD1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78F463A5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529FBB55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54E29899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140514EE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22009ECB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0CD88B4B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6A6482E7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2CFEBCC6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39CBE23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6F37261E" w14:textId="77777777" w:rsidR="00CD7E62" w:rsidRPr="00CD7E62" w:rsidRDefault="00CD7E62" w:rsidP="00CD7E62">
      <w:pPr>
        <w:ind w:left="36" w:right="576"/>
        <w:jc w:val="both"/>
        <w:rPr>
          <w:lang w:val="fr-CA"/>
        </w:rPr>
      </w:pPr>
      <w:r w:rsidRPr="00CD7E62">
        <w:rPr>
          <w:rFonts w:ascii="Arial" w:hAnsi="Arial" w:cs="Arial"/>
          <w:sz w:val="18"/>
          <w:szCs w:val="18"/>
          <w:lang w:val="fr-CA"/>
        </w:rPr>
        <w:fldChar w:fldCharType="begin"/>
      </w:r>
      <w:r w:rsidRPr="00CD7E62">
        <w:rPr>
          <w:rFonts w:ascii="Arial" w:hAnsi="Arial" w:cs="Arial"/>
          <w:sz w:val="18"/>
          <w:szCs w:val="18"/>
          <w:lang w:val="fr-CA"/>
        </w:rPr>
        <w:instrText xml:space="preserve"> DATE \@ "yyyy-MM-dd" </w:instrText>
      </w:r>
      <w:r w:rsidRPr="00CD7E62">
        <w:rPr>
          <w:rFonts w:ascii="Arial" w:hAnsi="Arial" w:cs="Arial"/>
          <w:sz w:val="18"/>
          <w:szCs w:val="18"/>
          <w:lang w:val="fr-CA"/>
        </w:rPr>
        <w:fldChar w:fldCharType="separate"/>
      </w:r>
      <w:r w:rsidR="00ED1FB0">
        <w:rPr>
          <w:rFonts w:ascii="Arial" w:hAnsi="Arial" w:cs="Arial"/>
          <w:noProof/>
          <w:sz w:val="18"/>
          <w:szCs w:val="18"/>
          <w:lang w:val="fr-CA"/>
        </w:rPr>
        <w:t>2022-03-21</w:t>
      </w:r>
      <w:r w:rsidRPr="00CD7E62">
        <w:rPr>
          <w:rFonts w:ascii="Arial" w:hAnsi="Arial" w:cs="Arial"/>
          <w:sz w:val="18"/>
          <w:szCs w:val="18"/>
          <w:lang w:val="fr-CA"/>
        </w:rPr>
        <w:fldChar w:fldCharType="end"/>
      </w:r>
    </w:p>
    <w:p w14:paraId="31BE5232" w14:textId="77777777" w:rsidR="00CD7E62" w:rsidRPr="00EA0EB7" w:rsidRDefault="00CD7E62" w:rsidP="00864828">
      <w:pPr>
        <w:jc w:val="center"/>
        <w:rPr>
          <w:lang w:val="fr-CA"/>
        </w:rPr>
      </w:pPr>
    </w:p>
    <w:sectPr w:rsidR="00CD7E62" w:rsidRPr="00EA0E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8B09" w14:textId="77777777" w:rsidR="00731F70" w:rsidRDefault="00731F70" w:rsidP="00F04FEC">
      <w:r>
        <w:separator/>
      </w:r>
    </w:p>
  </w:endnote>
  <w:endnote w:type="continuationSeparator" w:id="0">
    <w:p w14:paraId="6152E3F1" w14:textId="77777777" w:rsidR="00731F70" w:rsidRDefault="00731F70" w:rsidP="00F0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4349" w14:textId="77777777" w:rsidR="00F04FEC" w:rsidRDefault="00F04F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6C87" w14:textId="77777777" w:rsidR="00F04FEC" w:rsidRDefault="00F04F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1BF5" w14:textId="77777777" w:rsidR="00F04FEC" w:rsidRDefault="00F04F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2A01" w14:textId="77777777" w:rsidR="00731F70" w:rsidRDefault="00731F70" w:rsidP="00F04FEC">
      <w:r>
        <w:separator/>
      </w:r>
    </w:p>
  </w:footnote>
  <w:footnote w:type="continuationSeparator" w:id="0">
    <w:p w14:paraId="24D8A827" w14:textId="77777777" w:rsidR="00731F70" w:rsidRDefault="00731F70" w:rsidP="00F0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4C2E" w14:textId="77777777" w:rsidR="00F04FEC" w:rsidRDefault="00F04F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5C6A" w14:textId="77777777" w:rsidR="00F04FEC" w:rsidRDefault="00F04F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425C" w14:textId="77777777" w:rsidR="00F04FEC" w:rsidRDefault="00F04F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866F26"/>
    <w:lvl w:ilvl="0">
      <w:numFmt w:val="bullet"/>
      <w:lvlText w:val="*"/>
      <w:lvlJc w:val="left"/>
    </w:lvl>
  </w:abstractNum>
  <w:abstractNum w:abstractNumId="1" w15:restartNumberingAfterBreak="0">
    <w:nsid w:val="75E35310"/>
    <w:multiLevelType w:val="hybridMultilevel"/>
    <w:tmpl w:val="9288F652"/>
    <w:lvl w:ilvl="0" w:tplc="0D024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"/>
        <w:legacy w:legacy="1" w:legacySpace="0" w:legacyIndent="349"/>
        <w:lvlJc w:val="left"/>
        <w:pPr>
          <w:ind w:left="349" w:hanging="349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8"/>
    <w:rsid w:val="00057CDF"/>
    <w:rsid w:val="000B26E0"/>
    <w:rsid w:val="00110672"/>
    <w:rsid w:val="001D69BA"/>
    <w:rsid w:val="00731F70"/>
    <w:rsid w:val="00770C58"/>
    <w:rsid w:val="00864828"/>
    <w:rsid w:val="00CD7E62"/>
    <w:rsid w:val="00D414FB"/>
    <w:rsid w:val="00EA0EB7"/>
    <w:rsid w:val="00ED1FB0"/>
    <w:rsid w:val="00F0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6B58"/>
  <w15:chartTrackingRefBased/>
  <w15:docId w15:val="{9FC6553E-4570-4CA8-A80B-A7B069AA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828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E62"/>
    <w:rPr>
      <w:rFonts w:ascii="Segoe UI" w:eastAsia="Times New Roman" w:hAnsi="Segoe UI" w:cs="Segoe UI"/>
      <w:sz w:val="18"/>
      <w:szCs w:val="18"/>
      <w:lang w:val="en-US" w:eastAsia="fr-CA"/>
    </w:rPr>
  </w:style>
  <w:style w:type="paragraph" w:styleId="En-tte">
    <w:name w:val="header"/>
    <w:basedOn w:val="Normal"/>
    <w:link w:val="En-tteCar"/>
    <w:uiPriority w:val="99"/>
    <w:unhideWhenUsed/>
    <w:rsid w:val="00F04FE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04FEC"/>
    <w:rPr>
      <w:rFonts w:ascii="Times New Roman" w:eastAsia="Times New Roman" w:hAnsi="Times New Roman" w:cs="Times New Roman"/>
      <w:sz w:val="24"/>
      <w:szCs w:val="24"/>
      <w:lang w:val="en-US" w:eastAsia="fr-CA"/>
    </w:rPr>
  </w:style>
  <w:style w:type="paragraph" w:styleId="Pieddepage">
    <w:name w:val="footer"/>
    <w:basedOn w:val="Normal"/>
    <w:link w:val="PieddepageCar"/>
    <w:uiPriority w:val="99"/>
    <w:unhideWhenUsed/>
    <w:rsid w:val="00F04F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FEC"/>
    <w:rPr>
      <w:rFonts w:ascii="Times New Roman" w:eastAsia="Times New Roman" w:hAnsi="Times New Roman" w:cs="Times New Roman"/>
      <w:sz w:val="24"/>
      <w:szCs w:val="24"/>
      <w:lang w:val="en-US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Messier</dc:creator>
  <cp:keywords/>
  <dc:description/>
  <cp:lastModifiedBy>Racine, Ysabel</cp:lastModifiedBy>
  <cp:revision>2</cp:revision>
  <cp:lastPrinted>2022-01-19T20:21:00Z</cp:lastPrinted>
  <dcterms:created xsi:type="dcterms:W3CDTF">2022-03-21T19:11:00Z</dcterms:created>
  <dcterms:modified xsi:type="dcterms:W3CDTF">2022-03-21T19:11:00Z</dcterms:modified>
</cp:coreProperties>
</file>